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37" w:rsidRDefault="007A5037" w:rsidP="0025756A">
      <w:pPr>
        <w:spacing w:after="0" w:line="240" w:lineRule="auto"/>
        <w:jc w:val="center"/>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QUY CHẾ</w:t>
      </w:r>
      <w:r w:rsidRPr="00453271">
        <w:rPr>
          <w:rFonts w:eastAsia="Times New Roman" w:cs="Times New Roman"/>
          <w:color w:val="000000"/>
          <w:szCs w:val="28"/>
        </w:rPr>
        <w:br/>
      </w:r>
      <w:r w:rsidR="00FB537A">
        <w:rPr>
          <w:rFonts w:eastAsia="Times New Roman" w:cs="Times New Roman"/>
          <w:b/>
          <w:bCs/>
          <w:color w:val="000000"/>
          <w:szCs w:val="28"/>
          <w:bdr w:val="none" w:sz="0" w:space="0" w:color="auto" w:frame="1"/>
        </w:rPr>
        <w:t>THỰC HIỆN CÔNG KHAI CỦA TRƯỜNG MẦM NON BÌNH HÒA</w:t>
      </w:r>
    </w:p>
    <w:p w:rsidR="0025756A" w:rsidRPr="00453271" w:rsidRDefault="0025756A" w:rsidP="0025756A">
      <w:pPr>
        <w:spacing w:after="0" w:line="240" w:lineRule="auto"/>
        <w:jc w:val="center"/>
        <w:textAlignment w:val="baseline"/>
        <w:rPr>
          <w:rFonts w:eastAsia="Times New Roman" w:cs="Times New Roman"/>
          <w:color w:val="000000"/>
          <w:szCs w:val="28"/>
        </w:rPr>
      </w:pPr>
    </w:p>
    <w:p w:rsidR="007A5037" w:rsidRPr="00453271" w:rsidRDefault="007A5037" w:rsidP="0025756A">
      <w:pPr>
        <w:spacing w:after="0" w:line="240" w:lineRule="auto"/>
        <w:jc w:val="center"/>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Chương 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QUY ĐỊNH CHUNG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1. Phạm vi điều chỉnh và đối tượng áp dụng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 xml:space="preserve">Quy chế này quy định về thực hiện công khai của trường </w:t>
      </w:r>
      <w:r w:rsidR="000936BC" w:rsidRPr="00453271">
        <w:rPr>
          <w:rFonts w:eastAsia="Times New Roman" w:cs="Times New Roman"/>
          <w:bCs/>
          <w:color w:val="000000"/>
          <w:szCs w:val="28"/>
          <w:bdr w:val="none" w:sz="0" w:space="0" w:color="auto" w:frame="1"/>
        </w:rPr>
        <w:t>Mầm non Bình Hòa</w:t>
      </w:r>
      <w:r w:rsidRPr="00453271">
        <w:rPr>
          <w:rFonts w:eastAsia="Times New Roman" w:cs="Times New Roman"/>
          <w:color w:val="000000"/>
          <w:szCs w:val="28"/>
        </w:rPr>
        <w:t>, theo Thông tư số 09/2009/TT-BGDĐT ngày 07</w:t>
      </w:r>
      <w:r w:rsidR="00453271">
        <w:rPr>
          <w:rFonts w:eastAsia="Times New Roman" w:cs="Times New Roman"/>
          <w:color w:val="000000"/>
          <w:szCs w:val="28"/>
        </w:rPr>
        <w:t xml:space="preserve"> tháng 5 năm 2009 của Bộ GDĐT</w:t>
      </w:r>
      <w:r w:rsidRPr="00453271">
        <w:rPr>
          <w:rFonts w:eastAsia="Times New Roman" w:cs="Times New Roman"/>
          <w:color w:val="000000"/>
          <w:szCs w:val="28"/>
        </w:rPr>
        <w:br/>
        <w:t xml:space="preserve">Các CB – GV – CNV và các bậc phụ huynh trường </w:t>
      </w:r>
      <w:r w:rsidR="00453271" w:rsidRPr="00453271">
        <w:rPr>
          <w:rFonts w:eastAsia="Times New Roman" w:cs="Times New Roman"/>
          <w:bCs/>
          <w:color w:val="000000"/>
          <w:szCs w:val="28"/>
          <w:bdr w:val="none" w:sz="0" w:space="0" w:color="auto" w:frame="1"/>
        </w:rPr>
        <w:t>Mầm non Bình Hòa</w:t>
      </w:r>
      <w:r w:rsidR="00453271">
        <w:rPr>
          <w:rFonts w:eastAsia="Times New Roman" w:cs="Times New Roman"/>
          <w:color w:val="000000"/>
          <w:szCs w:val="28"/>
        </w:rPr>
        <w:t> </w:t>
      </w:r>
      <w:r w:rsidRPr="00453271">
        <w:rPr>
          <w:rFonts w:eastAsia="Times New Roman" w:cs="Times New Roman"/>
          <w:color w:val="000000"/>
          <w:szCs w:val="28"/>
        </w:rPr>
        <w:t>chị</w:t>
      </w:r>
      <w:r w:rsidR="00C209A7">
        <w:rPr>
          <w:rFonts w:eastAsia="Times New Roman" w:cs="Times New Roman"/>
          <w:color w:val="000000"/>
          <w:szCs w:val="28"/>
        </w:rPr>
        <w:t>u sự điều chỉnh của quy chế này.</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Điều 2. Mục tiêu thực hiện công khai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1. Thực hiện công khai cam kết của trường </w:t>
      </w:r>
      <w:r w:rsidR="00C209A7" w:rsidRPr="00453271">
        <w:rPr>
          <w:rFonts w:eastAsia="Times New Roman" w:cs="Times New Roman"/>
          <w:bCs/>
          <w:color w:val="000000"/>
          <w:szCs w:val="28"/>
          <w:bdr w:val="none" w:sz="0" w:space="0" w:color="auto" w:frame="1"/>
        </w:rPr>
        <w:t>Mầm non Bình Hòa</w:t>
      </w:r>
      <w:r w:rsidR="00C209A7" w:rsidRPr="00453271">
        <w:rPr>
          <w:rFonts w:eastAsia="Times New Roman" w:cs="Times New Roman"/>
          <w:color w:val="000000"/>
          <w:szCs w:val="28"/>
        </w:rPr>
        <w:t>  </w:t>
      </w:r>
      <w:r w:rsidRPr="00453271">
        <w:rPr>
          <w:rFonts w:eastAsia="Times New Roman" w:cs="Times New Roman"/>
          <w:color w:val="000000"/>
          <w:szCs w:val="28"/>
        </w:rPr>
        <w:t>về chất lượng giáo dục, công khai về điều kiện đảm bảo chất lượng giáo dục, về thu chi tài chính để phụ huynh, CB-GV-CNV của trường tham gia giám sát và đánh giá trường theo quy định của pháp luật.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3. Nguyên tắc thực hiện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1. Việc thực hiện công khai phải đảm bảo đầy đủ các nội dung, hình thức và thời điểm công khai quy định trong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2. Thông tin được công khai tại trường </w:t>
      </w:r>
      <w:r w:rsidR="00C209A7" w:rsidRPr="00453271">
        <w:rPr>
          <w:rFonts w:eastAsia="Times New Roman" w:cs="Times New Roman"/>
          <w:bCs/>
          <w:color w:val="000000"/>
          <w:szCs w:val="28"/>
          <w:bdr w:val="none" w:sz="0" w:space="0" w:color="auto" w:frame="1"/>
        </w:rPr>
        <w:t>Mầm non Bình Hòa</w:t>
      </w:r>
      <w:r w:rsidR="006A5223">
        <w:rPr>
          <w:rFonts w:eastAsia="Times New Roman" w:cs="Times New Roman"/>
          <w:color w:val="000000"/>
          <w:szCs w:val="28"/>
        </w:rPr>
        <w:t> </w:t>
      </w:r>
      <w:r w:rsidRPr="00453271">
        <w:rPr>
          <w:rFonts w:eastAsia="Times New Roman" w:cs="Times New Roman"/>
          <w:color w:val="000000"/>
          <w:szCs w:val="28"/>
        </w:rPr>
        <w:t>trong Quy chế này phải chính xác, kịp thời và dễ dàng tiếp cận. </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 xml:space="preserve">THỰC HIỆN CÔNG KHAI CỦA CƠ SỞ GIÁO DỤC </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4: Nội dung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i/>
          <w:iCs/>
          <w:color w:val="000000"/>
          <w:szCs w:val="28"/>
          <w:bdr w:val="none" w:sz="0" w:space="0" w:color="auto" w:frame="1"/>
        </w:rPr>
        <w:t>1. Công khai cam kết chất lượng giáo dục và chất lượng giáo dục thực tế</w:t>
      </w:r>
      <w:r w:rsidRPr="00453271">
        <w:rPr>
          <w:rFonts w:eastAsia="Times New Roman" w:cs="Times New Roman"/>
          <w:color w:val="000000"/>
          <w:szCs w:val="28"/>
        </w:rPr>
        <w:t>:</w:t>
      </w:r>
      <w:r w:rsidRPr="00453271">
        <w:rPr>
          <w:rFonts w:eastAsia="Times New Roman" w:cs="Times New Roman"/>
          <w:color w:val="000000"/>
          <w:szCs w:val="28"/>
        </w:rPr>
        <w:b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Chất lượng nuôi dưỡng, chăm sóc và giáo dục thực tế: công khai số trẻ em nhóm ghép, số trẻ em học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c) Đạt chuẩn quốc gia </w:t>
      </w:r>
    </w:p>
    <w:p w:rsidR="007A5037" w:rsidRPr="00453271" w:rsidRDefault="006A5223" w:rsidP="00575763">
      <w:pPr>
        <w:spacing w:after="0" w:line="240" w:lineRule="auto"/>
        <w:textAlignment w:val="baseline"/>
        <w:rPr>
          <w:rFonts w:eastAsia="Times New Roman" w:cs="Times New Roman"/>
          <w:color w:val="000000"/>
          <w:szCs w:val="28"/>
        </w:rPr>
      </w:pPr>
      <w:r>
        <w:rPr>
          <w:rFonts w:eastAsia="Times New Roman" w:cs="Times New Roman"/>
          <w:color w:val="000000"/>
          <w:szCs w:val="28"/>
        </w:rPr>
        <w:t>- Năm học 2019 – 2020</w:t>
      </w:r>
      <w:r w:rsidR="007A5037" w:rsidRPr="00453271">
        <w:rPr>
          <w:rFonts w:eastAsia="Times New Roman" w:cs="Times New Roman"/>
          <w:color w:val="000000"/>
          <w:szCs w:val="28"/>
        </w:rPr>
        <w:t xml:space="preserve"> : Lập kế hoạch xây dựng trường mầm non đạt chuẩn quốc gia.</w:t>
      </w:r>
      <w:r w:rsidR="007A5037" w:rsidRPr="00453271">
        <w:rPr>
          <w:rFonts w:eastAsia="Times New Roman" w:cs="Times New Roman"/>
          <w:color w:val="000000"/>
          <w:szCs w:val="28"/>
        </w:rPr>
        <w:br/>
      </w:r>
      <w:r w:rsidR="007A5037" w:rsidRPr="00453271">
        <w:rPr>
          <w:rFonts w:eastAsia="Times New Roman" w:cs="Times New Roman"/>
          <w:b/>
          <w:bCs/>
          <w:i/>
          <w:iCs/>
          <w:color w:val="000000"/>
          <w:szCs w:val="28"/>
          <w:bdr w:val="none" w:sz="0" w:space="0" w:color="auto" w:frame="1"/>
        </w:rPr>
        <w:t>2. Công khai điều kiện đảm bảo chất lượng giáo dục</w:t>
      </w:r>
      <w:r w:rsidR="007A5037"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r w:rsidRPr="00453271">
        <w:rPr>
          <w:rFonts w:eastAsia="Times New Roman" w:cs="Times New Roman"/>
          <w:color w:val="000000"/>
          <w:szCs w:val="28"/>
        </w:rPr>
        <w:br/>
        <w:t>b) Đội ngũ nhà giáo, cán bộ quản lý và nhân viên:</w:t>
      </w:r>
      <w:r w:rsidRPr="00453271">
        <w:rPr>
          <w:rFonts w:eastAsia="Times New Roman" w:cs="Times New Roman"/>
          <w:color w:val="000000"/>
          <w:szCs w:val="28"/>
        </w:rPr>
        <w:br/>
        <w:t>Số lượng, chức danh có phân biệt theo hình thức tuyển dụng và trình độ đào tạo (Theo Biểu mẫu 04 - trong phụ lục của quy chế).</w:t>
      </w:r>
      <w:r w:rsidRPr="00453271">
        <w:rPr>
          <w:rFonts w:eastAsia="Times New Roman" w:cs="Times New Roman"/>
          <w:color w:val="000000"/>
          <w:szCs w:val="28"/>
        </w:rPr>
        <w:br/>
        <w:t>Số lượng giáo viên, cán bộ quản lý và nhân viên được đào tạo, bồi dưỡng; hình thức, nội dung, trình độ và thời gian đào tạo và bồi dưỡng trong năm học và 2 năm tiếp theo.</w:t>
      </w:r>
      <w:r w:rsidRPr="00453271">
        <w:rPr>
          <w:rFonts w:eastAsia="Times New Roman" w:cs="Times New Roman"/>
          <w:color w:val="000000"/>
          <w:szCs w:val="28"/>
        </w:rPr>
        <w:br/>
      </w:r>
      <w:r w:rsidRPr="00453271">
        <w:rPr>
          <w:rFonts w:eastAsia="Times New Roman" w:cs="Times New Roman"/>
          <w:b/>
          <w:bCs/>
          <w:i/>
          <w:iCs/>
          <w:color w:val="000000"/>
          <w:szCs w:val="28"/>
          <w:bdr w:val="none" w:sz="0" w:space="0" w:color="auto" w:frame="1"/>
        </w:rPr>
        <w:t>3. Công khai thu chi tài chính</w:t>
      </w:r>
      <w:r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i/>
          <w:iCs/>
          <w:color w:val="000000"/>
          <w:szCs w:val="28"/>
          <w:bdr w:val="none" w:sz="0" w:space="0" w:color="auto" w:frame="1"/>
        </w:rPr>
      </w:pPr>
      <w:r w:rsidRPr="00453271">
        <w:rPr>
          <w:rFonts w:eastAsia="Times New Roman" w:cs="Times New Roman"/>
          <w:i/>
          <w:iCs/>
          <w:color w:val="000000"/>
          <w:szCs w:val="28"/>
          <w:bdr w:val="none" w:sz="0" w:space="0" w:color="auto" w:frame="1"/>
        </w:rPr>
        <w:t>a) Tình hình tài chính của trường :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r w:rsidRPr="00453271">
        <w:rPr>
          <w:rFonts w:eastAsia="Times New Roman" w:cs="Times New Roman"/>
          <w:color w:val="000000"/>
          <w:szCs w:val="28"/>
        </w:rPr>
        <w:br/>
        <w:t>-  Thực hiện niêm yết các biểu mẫu công khai dự toán, quyết toán thu chi tài chính theo hướng dẫn của Thông tư số 21/2005/TT-BTC ngày 22 tháng 3 năm 2005 của Bộ Tài chính.</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Học phí và các khoản thu khác từ học sinh: mức thu học phí và các khoản thu khác theo từng năm học và dự kiến cho 2 năm học tiếp theo.</w:t>
      </w:r>
      <w:r w:rsidRPr="00453271">
        <w:rPr>
          <w:rFonts w:eastAsia="Times New Roman" w:cs="Times New Roman"/>
          <w:color w:val="000000"/>
          <w:szCs w:val="28"/>
        </w:rPr>
        <w:b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r w:rsidRPr="00453271">
        <w:rPr>
          <w:rFonts w:eastAsia="Times New Roman" w:cs="Times New Roman"/>
          <w:color w:val="000000"/>
          <w:szCs w:val="28"/>
        </w:rPr>
        <w:br/>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5. Hình thức và thời điểm công khai</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1. Đối với các nội dung quy định tại Điều 4 của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Gởi Công khai về trang thông tin điện tử của Phòng giáo dục vào tháng 6 hàng năm, đảm bảo tính đầy đủ, chính xác và cập nhật khi khai giảng năm học (tháng 9) và khi có thông tin mới hoặc thay đổi.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b) Niêm yết công khai tại trường đảm bảo thuận tiện cho cha mẹ học sinh xem xét. Thời điểm công bố là tháng 6 hàng năm và cập nhật đầu năm học (tháng 9) hoặc khi có thay đổi nội dung liên quan.</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c) 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2. Đối với nội dung quy định tại điểm b khoản 3 Điều 4 của Quy chế này, cơ sở giáo dục thực hiện công khai như sau:</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Đối với trẻ mới tiếp nhận: phổ biến trong cuộc họp cha mẹ học sinh hoặc phát tài liệu cho cha mẹ học sinh trước khi trường tiếp nhận nuôi dưỡng, chăm sóc và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b) Đối với trẻ em đang được nuôi dưỡng, chăm sóc và giáo dục tại trường : phát tài liệu cho cha mẹ học sinh trước khi tổ chức họp cha mẹ học sinh vào đầu năm học mới.</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III</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TỔ CHỨC THỰC HIỆN</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6. Trách nhiệm của hiệu trưởng</w:t>
      </w:r>
    </w:p>
    <w:p w:rsidR="000936BC"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r w:rsidRPr="00453271">
        <w:rPr>
          <w:rFonts w:eastAsia="Times New Roman" w:cs="Times New Roman"/>
          <w:color w:val="000000"/>
          <w:szCs w:val="28"/>
        </w:rPr>
        <w:br/>
        <w:t>2. Báo cáo kết quả thực hiện quy chế công khai của năm học trước và kế hoạch triển khai quy chế công khai của năm học sắp tới cho cơ quan chỉ đạo, chủ trì tổ chức kiểm tra  trước 30 tháng 9 hàng năm.</w:t>
      </w:r>
      <w:r w:rsidRPr="00453271">
        <w:rPr>
          <w:rFonts w:eastAsia="Times New Roman" w:cs="Times New Roman"/>
          <w:color w:val="000000"/>
          <w:szCs w:val="28"/>
        </w:rPr>
        <w:br/>
        <w:t>3. Tạo điều kiện thuận lợi cho công tác kiểm tra việc thực hiện công khai của trường.</w:t>
      </w:r>
      <w:r w:rsidRPr="00453271">
        <w:rPr>
          <w:rFonts w:eastAsia="Times New Roman" w:cs="Times New Roman"/>
          <w:color w:val="000000"/>
          <w:szCs w:val="28"/>
        </w:rPr>
        <w:br/>
        <w:t>4. Thực hiện công bố kết quả kiểm tra vào thời điểm không quá 5 ngày sau khi nhận được kết quả kiểm tra của cơ quan chỉ đạo, chủ trì tổ chức kiểm tra và bằng các hình thức sau đây:</w:t>
      </w:r>
      <w:r w:rsidRPr="00453271">
        <w:rPr>
          <w:rFonts w:eastAsia="Times New Roman" w:cs="Times New Roman"/>
          <w:color w:val="000000"/>
          <w:szCs w:val="28"/>
        </w:rPr>
        <w:br/>
        <w:t>a) Công bố công khai trong cuộc họp với cán bộ, giáo viên, nhân viên của trường.</w:t>
      </w:r>
      <w:r w:rsidRPr="00453271">
        <w:rPr>
          <w:rFonts w:eastAsia="Times New Roman" w:cs="Times New Roman"/>
          <w:color w:val="000000"/>
          <w:szCs w:val="28"/>
        </w:rPr>
        <w:br/>
        <w:t>b) Niêm yết công khai kết quả kiểm tra tại cơ sở giáo dục đảm bảo thuận tiện cho cán bộ, giáo viên, nhân viên, cha mẹ học sinh xem xét.</w:t>
      </w:r>
      <w:r w:rsidRPr="00453271">
        <w:rPr>
          <w:rFonts w:eastAsia="Times New Roman" w:cs="Times New Roman"/>
          <w:color w:val="000000"/>
          <w:szCs w:val="28"/>
        </w:rPr>
        <w:br/>
        <w:t xml:space="preserve">c) Đưa lên trang thông tin điện tử của trường </w:t>
      </w:r>
      <w:r w:rsidR="000936BC" w:rsidRPr="00453271">
        <w:rPr>
          <w:rFonts w:eastAsia="Times New Roman" w:cs="Times New Roman"/>
          <w:bCs/>
          <w:color w:val="000000"/>
          <w:szCs w:val="28"/>
          <w:bdr w:val="none" w:sz="0" w:space="0" w:color="auto" w:frame="1"/>
        </w:rPr>
        <w:t>Mầm non Bình Hòa</w:t>
      </w:r>
      <w:r w:rsidR="000936BC" w:rsidRPr="00453271">
        <w:rPr>
          <w:rFonts w:eastAsia="Times New Roman" w:cs="Times New Roman"/>
          <w:color w:val="000000"/>
          <w:szCs w:val="28"/>
        </w:rPr>
        <w:t>  </w:t>
      </w:r>
      <w:r w:rsidR="000936BC" w:rsidRPr="00453271">
        <w:rPr>
          <w:rFonts w:eastAsia="Times New Roman" w:cs="Times New Roman"/>
          <w:b/>
          <w:bCs/>
          <w:color w:val="000000"/>
          <w:szCs w:val="28"/>
          <w:bdr w:val="none" w:sz="0" w:space="0" w:color="auto" w:frame="1"/>
        </w:rPr>
        <w:t xml:space="preserve"> </w:t>
      </w:r>
    </w:p>
    <w:p w:rsidR="000936BC"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Điều 7. Trách nhiệm của Ban chỉ đạo thực hiện quy chế công khai, các tổ chuyên môn và nhân viên  trong nhà trường </w:t>
      </w:r>
      <w:r w:rsidRPr="00453271">
        <w:rPr>
          <w:rFonts w:eastAsia="Times New Roman" w:cs="Times New Roman"/>
          <w:color w:val="000000"/>
          <w:szCs w:val="28"/>
        </w:rPr>
        <w:br/>
        <w:t xml:space="preserve">- Ban chỉ đạo thực hiện nhiệm vụ như đã được </w:t>
      </w:r>
      <w:r w:rsidR="007C55E0">
        <w:rPr>
          <w:rFonts w:eastAsia="Times New Roman" w:cs="Times New Roman"/>
          <w:color w:val="000000"/>
          <w:szCs w:val="28"/>
        </w:rPr>
        <w:t>phân công trong quyết định số ……./QĐ-MN</w:t>
      </w:r>
      <w:r w:rsidR="00180185">
        <w:rPr>
          <w:rFonts w:eastAsia="Times New Roman" w:cs="Times New Roman"/>
          <w:color w:val="000000"/>
          <w:szCs w:val="28"/>
        </w:rPr>
        <w:t>BH</w:t>
      </w:r>
      <w:r w:rsidR="00E31EA3">
        <w:rPr>
          <w:rFonts w:eastAsia="Times New Roman" w:cs="Times New Roman"/>
          <w:color w:val="000000"/>
          <w:szCs w:val="28"/>
        </w:rPr>
        <w:t>, ngày 1/8/2019</w:t>
      </w:r>
      <w:r w:rsidRPr="00453271">
        <w:rPr>
          <w:rFonts w:eastAsia="Times New Roman" w:cs="Times New Roman"/>
          <w:color w:val="000000"/>
          <w:szCs w:val="28"/>
        </w:rPr>
        <w:t xml:space="preserve"> của </w:t>
      </w:r>
      <w:r w:rsidR="000936BC" w:rsidRPr="00453271">
        <w:rPr>
          <w:rFonts w:eastAsia="Times New Roman" w:cs="Times New Roman"/>
          <w:bCs/>
          <w:color w:val="000000"/>
          <w:szCs w:val="28"/>
          <w:bdr w:val="none" w:sz="0" w:space="0" w:color="auto" w:frame="1"/>
        </w:rPr>
        <w:t>Mầm non Bình Hòa</w:t>
      </w:r>
      <w:r w:rsidR="000936BC">
        <w:rPr>
          <w:rFonts w:eastAsia="Times New Roman" w:cs="Times New Roman"/>
          <w:bCs/>
          <w:color w:val="000000"/>
          <w:szCs w:val="28"/>
          <w:bdr w:val="none" w:sz="0" w:space="0" w:color="auto" w:frame="1"/>
        </w:rPr>
        <w:t>.</w:t>
      </w:r>
      <w:r w:rsidR="000936BC" w:rsidRPr="00453271">
        <w:rPr>
          <w:rFonts w:eastAsia="Times New Roman" w:cs="Times New Roman"/>
          <w:color w:val="000000"/>
          <w:szCs w:val="28"/>
        </w:rPr>
        <w:t xml:space="preserve">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 Các tổ chuyên môn và toàn thể CB – GV – NV trong nhà trường có trách nhiệm thực hiện tốt Quy chế này. Trong quá trình thực hiện nếu có vướng mắc thì đề </w:t>
      </w:r>
      <w:r w:rsidRPr="00453271">
        <w:rPr>
          <w:rFonts w:eastAsia="Times New Roman" w:cs="Times New Roman"/>
          <w:color w:val="000000"/>
          <w:szCs w:val="28"/>
        </w:rPr>
        <w:lastRenderedPageBreak/>
        <w:t>nghị  Ban chỉ đạo xem xét sửa đổi. Qui chế sửa đổi có hiệu lực thi hành khi có quyết định thay thế.</w:t>
      </w:r>
    </w:p>
    <w:p w:rsidR="004E5BD8" w:rsidRDefault="004E5BD8" w:rsidP="004E5BD8">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b/>
          <w:bCs/>
          <w:color w:val="000000"/>
          <w:szCs w:val="28"/>
          <w:bdr w:val="none" w:sz="0" w:space="0" w:color="auto" w:frame="1"/>
        </w:rPr>
        <w:t xml:space="preserve">                                                             </w:t>
      </w:r>
    </w:p>
    <w:p w:rsidR="007A5037" w:rsidRPr="00453271" w:rsidRDefault="004E5BD8" w:rsidP="004E5BD8">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 xml:space="preserve">                                                                            HIỆU </w:t>
      </w:r>
      <w:r w:rsidR="007A5037" w:rsidRPr="00453271">
        <w:rPr>
          <w:rFonts w:eastAsia="Times New Roman" w:cs="Times New Roman"/>
          <w:b/>
          <w:bCs/>
          <w:color w:val="000000"/>
          <w:szCs w:val="28"/>
          <w:bdr w:val="none" w:sz="0" w:space="0" w:color="auto" w:frame="1"/>
        </w:rPr>
        <w:t>TRƯỞNG</w:t>
      </w:r>
      <w:r w:rsidR="007A5037" w:rsidRPr="00453271">
        <w:rPr>
          <w:rFonts w:eastAsia="Times New Roman" w:cs="Times New Roman"/>
          <w:color w:val="000000"/>
          <w:szCs w:val="28"/>
        </w:rPr>
        <w:br/>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bookmarkStart w:id="0" w:name="_GoBack"/>
      <w:bookmarkEnd w:id="0"/>
      <w:r w:rsidRPr="00453271">
        <w:rPr>
          <w:rFonts w:eastAsia="Times New Roman" w:cs="Times New Roman"/>
          <w:color w:val="666666"/>
          <w:szCs w:val="28"/>
          <w:bdr w:val="none" w:sz="0" w:space="0" w:color="auto" w:frame="1"/>
        </w:rPr>
        <w:t>3</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4</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5</w:t>
      </w:r>
    </w:p>
    <w:p w:rsidR="008C6442" w:rsidRPr="00453271" w:rsidRDefault="008C6442" w:rsidP="00575763">
      <w:pPr>
        <w:rPr>
          <w:rFonts w:cs="Times New Roman"/>
          <w:szCs w:val="28"/>
        </w:rPr>
      </w:pPr>
    </w:p>
    <w:sectPr w:rsidR="008C6442" w:rsidRPr="004532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5D" w:rsidRDefault="00B35C5D" w:rsidP="00EB2418">
      <w:pPr>
        <w:spacing w:after="0" w:line="240" w:lineRule="auto"/>
      </w:pPr>
      <w:r>
        <w:separator/>
      </w:r>
    </w:p>
  </w:endnote>
  <w:endnote w:type="continuationSeparator" w:id="0">
    <w:p w:rsidR="00B35C5D" w:rsidRDefault="00B35C5D" w:rsidP="00EB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50583"/>
      <w:docPartObj>
        <w:docPartGallery w:val="Page Numbers (Bottom of Page)"/>
        <w:docPartUnique/>
      </w:docPartObj>
    </w:sdtPr>
    <w:sdtEndPr>
      <w:rPr>
        <w:noProof/>
      </w:rPr>
    </w:sdtEndPr>
    <w:sdtContent>
      <w:p w:rsidR="00EB2418" w:rsidRDefault="00EB2418">
        <w:pPr>
          <w:pStyle w:val="Footer"/>
          <w:jc w:val="center"/>
        </w:pPr>
        <w:r>
          <w:fldChar w:fldCharType="begin"/>
        </w:r>
        <w:r>
          <w:instrText xml:space="preserve"> PAGE   \* MERGEFORMAT </w:instrText>
        </w:r>
        <w:r>
          <w:fldChar w:fldCharType="separate"/>
        </w:r>
        <w:r w:rsidR="00E31EA3">
          <w:rPr>
            <w:noProof/>
          </w:rPr>
          <w:t>4</w:t>
        </w:r>
        <w:r>
          <w:rPr>
            <w:noProof/>
          </w:rPr>
          <w:fldChar w:fldCharType="end"/>
        </w:r>
      </w:p>
    </w:sdtContent>
  </w:sdt>
  <w:p w:rsidR="00EB2418" w:rsidRDefault="00EB2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5D" w:rsidRDefault="00B35C5D" w:rsidP="00EB2418">
      <w:pPr>
        <w:spacing w:after="0" w:line="240" w:lineRule="auto"/>
      </w:pPr>
      <w:r>
        <w:separator/>
      </w:r>
    </w:p>
  </w:footnote>
  <w:footnote w:type="continuationSeparator" w:id="0">
    <w:p w:rsidR="00B35C5D" w:rsidRDefault="00B35C5D" w:rsidP="00EB2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7"/>
    <w:rsid w:val="000936BC"/>
    <w:rsid w:val="00180185"/>
    <w:rsid w:val="001E5CDB"/>
    <w:rsid w:val="0025756A"/>
    <w:rsid w:val="002954E3"/>
    <w:rsid w:val="002A33EF"/>
    <w:rsid w:val="00453271"/>
    <w:rsid w:val="004638C6"/>
    <w:rsid w:val="004E5BD8"/>
    <w:rsid w:val="00575763"/>
    <w:rsid w:val="006A5223"/>
    <w:rsid w:val="006E08F1"/>
    <w:rsid w:val="007100C8"/>
    <w:rsid w:val="007A5037"/>
    <w:rsid w:val="007C55E0"/>
    <w:rsid w:val="008C6442"/>
    <w:rsid w:val="00B35C5D"/>
    <w:rsid w:val="00BA3D0A"/>
    <w:rsid w:val="00C209A7"/>
    <w:rsid w:val="00E31EA3"/>
    <w:rsid w:val="00EB2418"/>
    <w:rsid w:val="00FB537A"/>
    <w:rsid w:val="00FC1F8B"/>
    <w:rsid w:val="00FD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3008">
      <w:bodyDiv w:val="1"/>
      <w:marLeft w:val="0"/>
      <w:marRight w:val="0"/>
      <w:marTop w:val="0"/>
      <w:marBottom w:val="0"/>
      <w:divBdr>
        <w:top w:val="none" w:sz="0" w:space="0" w:color="auto"/>
        <w:left w:val="none" w:sz="0" w:space="0" w:color="auto"/>
        <w:bottom w:val="none" w:sz="0" w:space="0" w:color="auto"/>
        <w:right w:val="none" w:sz="0" w:space="0" w:color="auto"/>
      </w:divBdr>
      <w:divsChild>
        <w:div w:id="1835679678">
          <w:marLeft w:val="0"/>
          <w:marRight w:val="0"/>
          <w:marTop w:val="0"/>
          <w:marBottom w:val="0"/>
          <w:divBdr>
            <w:top w:val="none" w:sz="0" w:space="6" w:color="auto"/>
            <w:left w:val="none" w:sz="0" w:space="0" w:color="auto"/>
            <w:bottom w:val="single" w:sz="6" w:space="6" w:color="DADADA"/>
            <w:right w:val="none" w:sz="0" w:space="0" w:color="auto"/>
          </w:divBdr>
          <w:divsChild>
            <w:div w:id="938172759">
              <w:marLeft w:val="0"/>
              <w:marRight w:val="0"/>
              <w:marTop w:val="0"/>
              <w:marBottom w:val="0"/>
              <w:divBdr>
                <w:top w:val="none" w:sz="0" w:space="0" w:color="auto"/>
                <w:left w:val="none" w:sz="0" w:space="0" w:color="auto"/>
                <w:bottom w:val="none" w:sz="0" w:space="0" w:color="auto"/>
                <w:right w:val="none" w:sz="0" w:space="0" w:color="auto"/>
              </w:divBdr>
            </w:div>
          </w:divsChild>
        </w:div>
        <w:div w:id="1685009465">
          <w:marLeft w:val="0"/>
          <w:marRight w:val="0"/>
          <w:marTop w:val="0"/>
          <w:marBottom w:val="0"/>
          <w:divBdr>
            <w:top w:val="none" w:sz="0" w:space="0" w:color="auto"/>
            <w:left w:val="none" w:sz="0" w:space="0" w:color="auto"/>
            <w:bottom w:val="none" w:sz="0" w:space="0" w:color="auto"/>
            <w:right w:val="none" w:sz="0" w:space="0" w:color="auto"/>
          </w:divBdr>
        </w:div>
        <w:div w:id="476263441">
          <w:marLeft w:val="0"/>
          <w:marRight w:val="0"/>
          <w:marTop w:val="0"/>
          <w:marBottom w:val="240"/>
          <w:divBdr>
            <w:top w:val="none" w:sz="0" w:space="0" w:color="auto"/>
            <w:left w:val="none" w:sz="0" w:space="0" w:color="auto"/>
            <w:bottom w:val="none" w:sz="0" w:space="0" w:color="auto"/>
            <w:right w:val="none" w:sz="0" w:space="0" w:color="auto"/>
          </w:divBdr>
          <w:divsChild>
            <w:div w:id="1521816432">
              <w:marLeft w:val="0"/>
              <w:marRight w:val="0"/>
              <w:marTop w:val="0"/>
              <w:marBottom w:val="0"/>
              <w:divBdr>
                <w:top w:val="none" w:sz="0" w:space="0" w:color="auto"/>
                <w:left w:val="none" w:sz="0" w:space="0" w:color="auto"/>
                <w:bottom w:val="none" w:sz="0" w:space="0" w:color="auto"/>
                <w:right w:val="none" w:sz="0" w:space="0" w:color="auto"/>
              </w:divBdr>
              <w:divsChild>
                <w:div w:id="160312606">
                  <w:marLeft w:val="0"/>
                  <w:marRight w:val="0"/>
                  <w:marTop w:val="0"/>
                  <w:marBottom w:val="0"/>
                  <w:divBdr>
                    <w:top w:val="none" w:sz="0" w:space="0" w:color="auto"/>
                    <w:left w:val="none" w:sz="0" w:space="0" w:color="auto"/>
                    <w:bottom w:val="none" w:sz="0" w:space="0" w:color="auto"/>
                    <w:right w:val="none" w:sz="0" w:space="0" w:color="auto"/>
                  </w:divBdr>
                </w:div>
              </w:divsChild>
            </w:div>
            <w:div w:id="1683510208">
              <w:marLeft w:val="0"/>
              <w:marRight w:val="0"/>
              <w:marTop w:val="0"/>
              <w:marBottom w:val="0"/>
              <w:divBdr>
                <w:top w:val="none" w:sz="0" w:space="0" w:color="auto"/>
                <w:left w:val="none" w:sz="0" w:space="0" w:color="auto"/>
                <w:bottom w:val="none" w:sz="0" w:space="0" w:color="auto"/>
                <w:right w:val="none" w:sz="0" w:space="0" w:color="auto"/>
              </w:divBdr>
              <w:divsChild>
                <w:div w:id="868838966">
                  <w:marLeft w:val="0"/>
                  <w:marRight w:val="0"/>
                  <w:marTop w:val="0"/>
                  <w:marBottom w:val="0"/>
                  <w:divBdr>
                    <w:top w:val="none" w:sz="0" w:space="0" w:color="auto"/>
                    <w:left w:val="none" w:sz="0" w:space="0" w:color="auto"/>
                    <w:bottom w:val="none" w:sz="0" w:space="0" w:color="auto"/>
                    <w:right w:val="none" w:sz="0" w:space="0" w:color="auto"/>
                  </w:divBdr>
                </w:div>
                <w:div w:id="1324310530">
                  <w:marLeft w:val="0"/>
                  <w:marRight w:val="0"/>
                  <w:marTop w:val="0"/>
                  <w:marBottom w:val="0"/>
                  <w:divBdr>
                    <w:top w:val="none" w:sz="0" w:space="0" w:color="auto"/>
                    <w:left w:val="none" w:sz="0" w:space="0" w:color="auto"/>
                    <w:bottom w:val="none" w:sz="0" w:space="0" w:color="auto"/>
                    <w:right w:val="none" w:sz="0" w:space="0" w:color="auto"/>
                  </w:divBdr>
                  <w:divsChild>
                    <w:div w:id="862745571">
                      <w:marLeft w:val="0"/>
                      <w:marRight w:val="0"/>
                      <w:marTop w:val="0"/>
                      <w:marBottom w:val="0"/>
                      <w:divBdr>
                        <w:top w:val="none" w:sz="0" w:space="0" w:color="auto"/>
                        <w:left w:val="none" w:sz="0" w:space="0" w:color="auto"/>
                        <w:bottom w:val="none" w:sz="0" w:space="0" w:color="auto"/>
                        <w:right w:val="none" w:sz="0" w:space="0" w:color="auto"/>
                      </w:divBdr>
                    </w:div>
                    <w:div w:id="744767281">
                      <w:marLeft w:val="0"/>
                      <w:marRight w:val="0"/>
                      <w:marTop w:val="0"/>
                      <w:marBottom w:val="0"/>
                      <w:divBdr>
                        <w:top w:val="none" w:sz="0" w:space="0" w:color="auto"/>
                        <w:left w:val="none" w:sz="0" w:space="0" w:color="auto"/>
                        <w:bottom w:val="none" w:sz="0" w:space="0" w:color="auto"/>
                        <w:right w:val="none" w:sz="0" w:space="0" w:color="auto"/>
                      </w:divBdr>
                      <w:divsChild>
                        <w:div w:id="146015342">
                          <w:marLeft w:val="0"/>
                          <w:marRight w:val="0"/>
                          <w:marTop w:val="0"/>
                          <w:marBottom w:val="0"/>
                          <w:divBdr>
                            <w:top w:val="none" w:sz="0" w:space="0" w:color="auto"/>
                            <w:left w:val="none" w:sz="0" w:space="0" w:color="auto"/>
                            <w:bottom w:val="none" w:sz="0" w:space="0" w:color="auto"/>
                            <w:right w:val="none" w:sz="0" w:space="0" w:color="auto"/>
                          </w:divBdr>
                        </w:div>
                        <w:div w:id="164172427">
                          <w:marLeft w:val="0"/>
                          <w:marRight w:val="0"/>
                          <w:marTop w:val="0"/>
                          <w:marBottom w:val="0"/>
                          <w:divBdr>
                            <w:top w:val="none" w:sz="0" w:space="0" w:color="auto"/>
                            <w:left w:val="none" w:sz="0" w:space="0" w:color="auto"/>
                            <w:bottom w:val="none" w:sz="0" w:space="0" w:color="auto"/>
                            <w:right w:val="none" w:sz="0" w:space="0" w:color="auto"/>
                          </w:divBdr>
                        </w:div>
                        <w:div w:id="1926106444">
                          <w:marLeft w:val="0"/>
                          <w:marRight w:val="0"/>
                          <w:marTop w:val="0"/>
                          <w:marBottom w:val="0"/>
                          <w:divBdr>
                            <w:top w:val="none" w:sz="0" w:space="0" w:color="auto"/>
                            <w:left w:val="none" w:sz="0" w:space="0" w:color="auto"/>
                            <w:bottom w:val="none" w:sz="0" w:space="0" w:color="auto"/>
                            <w:right w:val="none" w:sz="0" w:space="0" w:color="auto"/>
                          </w:divBdr>
                        </w:div>
                        <w:div w:id="736052820">
                          <w:marLeft w:val="0"/>
                          <w:marRight w:val="0"/>
                          <w:marTop w:val="0"/>
                          <w:marBottom w:val="0"/>
                          <w:divBdr>
                            <w:top w:val="none" w:sz="0" w:space="0" w:color="auto"/>
                            <w:left w:val="none" w:sz="0" w:space="0" w:color="auto"/>
                            <w:bottom w:val="none" w:sz="0" w:space="0" w:color="auto"/>
                            <w:right w:val="none" w:sz="0" w:space="0" w:color="auto"/>
                          </w:divBdr>
                        </w:div>
                        <w:div w:id="3172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cp:revision>
  <dcterms:created xsi:type="dcterms:W3CDTF">2017-12-27T00:25:00Z</dcterms:created>
  <dcterms:modified xsi:type="dcterms:W3CDTF">2019-08-19T08:00:00Z</dcterms:modified>
</cp:coreProperties>
</file>